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Informarea medicală individuală</w:t>
      </w:r>
    </w:p>
    <w:p>
      <w:pPr>
        <w:widowControl/>
      </w:pPr>
      <w:r>
        <w:t>România  /  Model pentru completare</w:t>
      </w:r>
    </w:p>
    <w:p>
      <w:pPr>
        <w:widowControl/>
      </w:pPr>
      <w:r>
        <w:t>Se comunică înainte de acceptare informațiile medicale relevante cunoscute. Se verifică actele reale; rubricile neaplicabile se barează.</w:t>
      </w:r>
    </w:p>
    <w:p>
      <w:pPr>
        <w:widowControl/>
      </w:pPr>
      <w:r>
        <w:t>Contract nr. __________________ / data 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Pisoi, rasă, sex, cod EMS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Nume …………  Rasă …………  Sex …………  EMS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Data nașterii, identitate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Data …………  Microcip actual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Microcip anterior (dacă înlocuit)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Nr. …………  Motiv …………  Document veterinar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Identificarea părinților / certificat de origine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Certificat de origine nr. …………  Emitent …………  Data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Pașaport veterinar internațional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Număr …………  Data …………  Emitent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Vaccinări conform vârstei și traseului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Denumire / date / loturi / pagină pașaport: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Deparazitări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Date / preparate / documente: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Examinare clinică înainte de plecare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Data …………  Veterinar …………  Document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Teste / rezultate efectiv disponibile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Denumire …………  Data …………  Rezultat / anexă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Documente pentru intrarea în UE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Certificat sanitar-veterinar / document vamal / alte acte: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Situații comunicate înainte de vânzare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Tratamente / probleme cunoscute / observații: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Predare și verificare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Data ………… Ora ………… Loc ………… Microcip citit …………</w:t>
            </w:r>
          </w:p>
        </w:tc>
      </w:tr>
    </w:tbl>
    <w:p>
      <w:pPr>
        <w:widowControl/>
      </w:pPr>
      <w:r>
        <w:t>Limitele examinării și răspunderea urmează art. 5.2. Controlul în primele 72 de ore este recomandat; depășirea termenului nu stinge drepturile legale. La simptome se asigură îngrijire imediată și notificare fără întârziere nejustificată.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Observații ale cumpărătorului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widowControl/>
      </w:pPr>
      <w:r>
        <w:t>Confirmăm informațiile comunicate, actele predate și datele citite, fără renunțarea la remedii legale ori exonerarea pentru informații cunoscute și ascunse.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VÂNZĂTOR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CUMPĂRĂTOR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Nume 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Semnătură 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Semnătură 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Data _______________________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 w:val="0"/>
              <w:spacing w:after="20" w:before="20"/>
            </w:pPr>
            <w:r>
              <w:rPr>
                <w:sz w:val="19"/>
              </w:rPr>
              <w:t>Data 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64" w:right="1134" w:bottom="96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23 octombrie 2026 · Ediție modulară     Pagina </w:t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LYNX RUNE CODE  /  ANEXA F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