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Garanția genetică suplimentară</w:t>
      </w:r>
    </w:p>
    <w:p>
      <w:pPr>
        <w:widowControl/>
      </w:pPr>
      <w:r>
        <w:t>România  /  Model pentru completare</w:t>
      </w:r>
    </w:p>
    <w:p>
      <w:pPr>
        <w:widowControl/>
      </w:pPr>
      <w:r>
        <w:t>Numai dacă este acordată expres o garanție comercială suplimentară. Formularul gol nu promite automat o perioadă, afecțiune sau indemnizație. Garanțiile legale se păstrează.</w:t>
      </w:r>
    </w:p>
    <w:p>
      <w:pPr>
        <w:widowControl/>
      </w:pPr>
      <w:r>
        <w:t>Contract nr. __________________ / data 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Afecțiunea exact acoperită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Teste reale laborator data rezultat document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Perioada și momentul de început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Documente pentru constatarea diagnosticului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Termen rezonabil și contact pentru notificare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Remediu suplimentar cuantum în EUR și termen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Costurile constatării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Excluderi justificate și condiții individuale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</w:tbl>
    <w:p>
      <w:pPr>
        <w:widowControl/>
      </w:pPr>
      <w:r>
        <w:t>Nu se confirmă teste neefectuate și nu se transformă predispoziția într-un diagnostic. Nu se garantează absența tuturor bolilor viitoare, inclusiv FIP. Nicio condiție nu restrânge remediile legale și nu amână îngrijirea urgentă.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VÂNZĂTOR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CUMPĂRĂTOR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Nume 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Semnătură 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Semnătură 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Data _______________________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 w:val="0"/>
              <w:spacing w:after="20" w:before="20"/>
            </w:pPr>
            <w:r>
              <w:rPr>
                <w:sz w:val="19"/>
              </w:rPr>
              <w:t>Data 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64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23 octombrie 2026 · Ediție modulară     Pagina </w:t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LYNX RUNE CODE  /  ANEXA 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